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农业技术推广站</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w:t>
      </w:r>
      <w:r>
        <w:rPr>
          <w:rFonts w:hint="eastAsia" w:ascii="仿宋_GB2312" w:hAnsi="微软雅黑" w:eastAsia="仿宋_GB2312" w:cs="仿宋_GB2312"/>
          <w:b w:val="0"/>
          <w:bCs w:val="0"/>
          <w:i w:val="0"/>
          <w:caps w:val="0"/>
          <w:color w:val="000000"/>
          <w:spacing w:val="0"/>
          <w:kern w:val="0"/>
          <w:sz w:val="32"/>
          <w:szCs w:val="32"/>
          <w:shd w:val="clear" w:fill="FFFFFF"/>
          <w:lang w:val="en-US" w:eastAsia="zh-CN" w:bidi="ar"/>
        </w:rPr>
        <w:t>3</w:t>
      </w:r>
      <w:r>
        <w:rPr>
          <w:rFonts w:hint="eastAsia" w:ascii="仿宋_GB2312" w:hAnsi="微软雅黑" w:eastAsia="仿宋_GB2312" w:cs="仿宋_GB2312"/>
          <w:i w:val="0"/>
          <w:caps w:val="0"/>
          <w:color w:val="000000"/>
          <w:spacing w:val="0"/>
          <w:kern w:val="0"/>
          <w:sz w:val="32"/>
          <w:szCs w:val="32"/>
          <w:shd w:val="clear" w:fill="FFFFFF"/>
          <w:lang w:val="en-US" w:eastAsia="zh-CN" w:bidi="ar"/>
        </w:rPr>
        <w:t>、财政拨款支出说明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6、“三公”经费预算情况说明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7、整体绩效目标设置情况说明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8、项目绩效目标设置情况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9、项目情况说明：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一</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全市种植业新品种、新技术、新器械的引进、试验消化、创新和示范推广</w:t>
      </w:r>
      <w:r>
        <w:rPr>
          <w:rFonts w:hint="eastAsia" w:ascii="仿宋" w:hAnsi="仿宋" w:eastAsia="仿宋" w:cs="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开展科技培训</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科技咨询服务</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参与基层农技推广体系改革与建设及技术指导。</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编制数为</w:t>
      </w:r>
      <w:r>
        <w:rPr>
          <w:rFonts w:hint="eastAsia" w:ascii="仿宋_GB2312" w:hAnsi="宋体" w:eastAsia="仿宋_GB2312" w:cs="仿宋_GB2312"/>
          <w:color w:val="auto"/>
          <w:sz w:val="32"/>
          <w:szCs w:val="32"/>
          <w:lang w:val="en-US" w:eastAsia="zh-CN"/>
        </w:rPr>
        <w:t>5</w:t>
      </w:r>
      <w:r>
        <w:rPr>
          <w:rFonts w:hint="eastAsia" w:ascii="仿宋_GB2312" w:hAnsi="宋体" w:eastAsia="仿宋_GB2312" w:cs="仿宋_GB2312"/>
          <w:color w:val="auto"/>
          <w:sz w:val="32"/>
          <w:szCs w:val="32"/>
        </w:rPr>
        <w:t>人，其中行政编制</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人、全额补助事业编制</w:t>
      </w:r>
      <w:r>
        <w:rPr>
          <w:rFonts w:hint="eastAsia" w:ascii="仿宋_GB2312" w:hAnsi="宋体" w:eastAsia="仿宋_GB2312" w:cs="仿宋_GB2312"/>
          <w:color w:val="auto"/>
          <w:sz w:val="32"/>
          <w:szCs w:val="32"/>
          <w:lang w:val="en-US" w:eastAsia="zh-CN"/>
        </w:rPr>
        <w:t>5</w:t>
      </w:r>
      <w:r>
        <w:rPr>
          <w:rFonts w:hint="eastAsia" w:ascii="仿宋_GB2312" w:hAnsi="宋体" w:eastAsia="仿宋_GB2312" w:cs="仿宋_GB2312"/>
          <w:color w:val="auto"/>
          <w:sz w:val="32"/>
          <w:szCs w:val="32"/>
        </w:rPr>
        <w:t>人、部分补助事业编制</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人、自收自支事业编制</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人；实有人数</w:t>
      </w: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人，其中在职人数为</w:t>
      </w:r>
      <w:r>
        <w:rPr>
          <w:rFonts w:hint="eastAsia" w:ascii="仿宋_GB2312" w:hAnsi="宋体" w:eastAsia="仿宋_GB2312" w:cs="仿宋_GB2312"/>
          <w:color w:val="auto"/>
          <w:sz w:val="32"/>
          <w:szCs w:val="32"/>
          <w:lang w:val="en-US" w:eastAsia="zh-CN"/>
        </w:rPr>
        <w:t>5</w:t>
      </w:r>
      <w:r>
        <w:rPr>
          <w:rFonts w:hint="eastAsia" w:ascii="仿宋_GB2312" w:hAnsi="宋体" w:eastAsia="仿宋_GB2312" w:cs="仿宋_GB2312"/>
          <w:color w:val="auto"/>
          <w:sz w:val="32"/>
          <w:szCs w:val="32"/>
        </w:rPr>
        <w:t>人，包括行政人员</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人、全额补助事业人员</w:t>
      </w:r>
      <w:r>
        <w:rPr>
          <w:rFonts w:hint="eastAsia" w:ascii="仿宋_GB2312" w:hAnsi="宋体" w:eastAsia="仿宋_GB2312" w:cs="仿宋_GB2312"/>
          <w:color w:val="auto"/>
          <w:sz w:val="32"/>
          <w:szCs w:val="32"/>
          <w:lang w:val="en-US" w:eastAsia="zh-CN"/>
        </w:rPr>
        <w:t>5</w:t>
      </w:r>
      <w:r>
        <w:rPr>
          <w:rFonts w:hint="eastAsia" w:ascii="仿宋_GB2312" w:hAnsi="宋体" w:eastAsia="仿宋_GB2312" w:cs="仿宋_GB2312"/>
          <w:color w:val="auto"/>
          <w:sz w:val="32"/>
          <w:szCs w:val="32"/>
        </w:rPr>
        <w:t>人、部分补助事业编人员</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人、自收自支事业人员</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人；离休人员</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人；退休人员</w:t>
      </w:r>
      <w:r>
        <w:rPr>
          <w:rFonts w:hint="eastAsia" w:ascii="仿宋_GB2312" w:hAnsi="宋体" w:eastAsia="仿宋_GB2312" w:cs="仿宋_GB2312"/>
          <w:color w:val="auto"/>
          <w:sz w:val="32"/>
          <w:szCs w:val="32"/>
          <w:lang w:val="en-US" w:eastAsia="zh-CN"/>
        </w:rPr>
        <w:t>4</w:t>
      </w:r>
      <w:r>
        <w:rPr>
          <w:rFonts w:hint="eastAsia" w:ascii="仿宋_GB2312" w:hAnsi="宋体" w:eastAsia="仿宋_GB2312" w:cs="仿宋_GB2312"/>
          <w:color w:val="auto"/>
          <w:sz w:val="32"/>
          <w:szCs w:val="32"/>
        </w:rPr>
        <w:t>人。在校学生</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人，其中：高等学校</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人、中等专业学校</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人，其他</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w:t>
      </w:r>
    </w:p>
    <w:p>
      <w:pPr>
        <w:ind w:firstLine="640" w:firstLineChars="200"/>
        <w:rPr>
          <w:rFonts w:ascii="仿宋_GB2312" w:hAnsi="宋体" w:eastAsia="仿宋_GB2312" w:cs="仿宋_GB2312"/>
          <w:sz w:val="32"/>
          <w:szCs w:val="32"/>
        </w:rPr>
      </w:pP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收入预算总额为107.6万元，与上年预算相比增</w:t>
      </w:r>
      <w:r>
        <w:rPr>
          <w:rFonts w:hint="eastAsia" w:ascii="仿宋_GB2312" w:hAnsi="宋体" w:eastAsia="仿宋_GB2312" w:cs="仿宋_GB2312"/>
          <w:sz w:val="32"/>
          <w:szCs w:val="32"/>
          <w:lang w:val="en-US" w:eastAsia="zh-CN"/>
        </w:rPr>
        <w:t>16.86万元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增加了人员工资福利收入</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70.42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65.45</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；上年结余结转收入37.18万元，占收入预算总额的</w:t>
      </w:r>
      <w:r>
        <w:rPr>
          <w:rFonts w:hint="eastAsia" w:ascii="仿宋_GB2312" w:hAnsi="宋体" w:eastAsia="仿宋_GB2312" w:cs="仿宋_GB2312"/>
          <w:sz w:val="32"/>
          <w:szCs w:val="32"/>
          <w:lang w:val="en-US" w:eastAsia="zh-CN"/>
        </w:rPr>
        <w:t>34.55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支出预算总额为107.6万元，与上年预算相比增</w:t>
      </w:r>
      <w:r>
        <w:rPr>
          <w:rFonts w:hint="eastAsia" w:ascii="仿宋_GB2312" w:hAnsi="宋体" w:eastAsia="仿宋_GB2312" w:cs="仿宋_GB2312"/>
          <w:sz w:val="32"/>
          <w:szCs w:val="32"/>
          <w:lang w:val="en-US" w:eastAsia="zh-CN"/>
        </w:rPr>
        <w:t>16.86万元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增加了人员工资福利支出</w:t>
      </w:r>
      <w:r>
        <w:rPr>
          <w:rFonts w:hint="eastAsia" w:ascii="仿宋_GB2312" w:hAnsi="宋体" w:eastAsia="仿宋_GB2312" w:cs="仿宋_GB2312"/>
          <w:sz w:val="32"/>
          <w:szCs w:val="32"/>
        </w:rPr>
        <w:t>。其中：按支出项目类别划分：基本支出102.6万元，占支出预算总额的</w:t>
      </w:r>
      <w:r>
        <w:rPr>
          <w:rFonts w:hint="eastAsia" w:ascii="仿宋_GB2312" w:hAnsi="宋体" w:eastAsia="仿宋_GB2312" w:cs="仿宋_GB2312"/>
          <w:sz w:val="32"/>
          <w:szCs w:val="32"/>
          <w:lang w:val="en-US" w:eastAsia="zh-CN"/>
        </w:rPr>
        <w:t>95.35</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，包括工资福利支出59.95万元、商品和服务支出7.29万元、对个人和家庭的补助35.36万元、其他资本性支出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4.65</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按支出功能项目科目划分：一般公共服务107.6万元，占支出预算总额的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；公共安全支出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95.31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88.58</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12.29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11.42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其他资本性支出</w:t>
      </w:r>
      <w:r>
        <w:rPr>
          <w:rFonts w:hint="eastAsia" w:ascii="仿宋_GB2312" w:hAnsi="宋体" w:eastAsia="仿宋_GB2312" w:cs="仿宋_GB2312"/>
          <w:sz w:val="32"/>
          <w:szCs w:val="32"/>
          <w:lang w:val="en-US" w:eastAsia="zh-CN"/>
        </w:rPr>
        <w:t>0万元，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70.42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65.45</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0.9万元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增加了人员工资福利支出</w:t>
      </w:r>
      <w:r>
        <w:rPr>
          <w:rFonts w:hint="eastAsia" w:ascii="仿宋_GB2312" w:hAnsi="宋体" w:eastAsia="仿宋_GB2312" w:cs="仿宋_GB2312"/>
          <w:sz w:val="32"/>
          <w:szCs w:val="32"/>
        </w:rPr>
        <w:t>。具体支出情况是：农林水事务</w:t>
      </w:r>
      <w:r>
        <w:rPr>
          <w:rFonts w:hint="eastAsia" w:ascii="仿宋_GB2312" w:hAnsi="宋体" w:eastAsia="仿宋_GB2312" w:cs="仿宋_GB2312"/>
          <w:sz w:val="32"/>
          <w:szCs w:val="32"/>
          <w:lang w:val="en-US" w:eastAsia="zh-CN"/>
        </w:rPr>
        <w:t>70.42</w:t>
      </w:r>
      <w:r>
        <w:rPr>
          <w:rFonts w:hint="eastAsia" w:ascii="仿宋_GB2312" w:hAnsi="宋体" w:eastAsia="仿宋_GB2312" w:cs="仿宋_GB2312"/>
          <w:sz w:val="32"/>
          <w:szCs w:val="32"/>
        </w:rPr>
        <w:t>万元，占财政拨款支出的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；教育</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w:t>
      </w:r>
      <w:r>
        <w:rPr>
          <w:rFonts w:hint="eastAsia" w:ascii="仿宋_GB2312" w:hAnsi="宋体" w:eastAsia="仿宋_GB2312" w:cs="仿宋_GB2312"/>
          <w:sz w:val="32"/>
          <w:szCs w:val="32"/>
        </w:rPr>
        <w:t>集中采购预算</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0万元</w:t>
      </w:r>
      <w:r>
        <w:rPr>
          <w:rFonts w:hint="eastAsia" w:ascii="仿宋_GB2312" w:hAnsi="宋体" w:eastAsia="仿宋_GB2312" w:cs="仿宋_GB2312"/>
          <w:sz w:val="32"/>
          <w:szCs w:val="32"/>
        </w:rPr>
        <w:t>，与上年预算对比</w:t>
      </w:r>
      <w:r>
        <w:rPr>
          <w:rFonts w:hint="eastAsia" w:ascii="仿宋_GB2312" w:hAnsi="宋体" w:eastAsia="仿宋_GB2312" w:cs="仿宋_GB2312"/>
          <w:sz w:val="32"/>
          <w:szCs w:val="32"/>
          <w:lang w:eastAsia="zh-CN"/>
        </w:rPr>
        <w:t>增</w:t>
      </w:r>
      <w:r>
        <w:rPr>
          <w:rFonts w:hint="eastAsia" w:ascii="仿宋_GB2312" w:hAnsi="宋体" w:eastAsia="仿宋_GB2312" w:cs="仿宋_GB2312"/>
          <w:sz w:val="32"/>
          <w:szCs w:val="32"/>
        </w:rPr>
        <w:t>减</w:t>
      </w:r>
      <w:r>
        <w:rPr>
          <w:rFonts w:hint="eastAsia" w:ascii="仿宋_GB2312" w:hAnsi="宋体" w:eastAsia="仿宋_GB2312" w:cs="仿宋_GB2312"/>
          <w:sz w:val="32"/>
          <w:szCs w:val="32"/>
          <w:lang w:val="en-US" w:eastAsia="zh-CN"/>
        </w:rPr>
        <w:t>0万元</w:t>
      </w:r>
      <w:r>
        <w:rPr>
          <w:rFonts w:hint="eastAsia" w:ascii="仿宋_GB2312" w:hAnsi="宋体" w:eastAsia="仿宋_GB2312" w:cs="仿宋_GB2312"/>
          <w:sz w:val="32"/>
          <w:szCs w:val="32"/>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本单位</w:t>
      </w:r>
      <w:r>
        <w:rPr>
          <w:rFonts w:hint="eastAsia" w:ascii="仿宋_GB2312" w:hAnsi="宋体" w:eastAsia="仿宋_GB2312" w:cs="仿宋_GB2312"/>
          <w:sz w:val="32"/>
          <w:szCs w:val="32"/>
        </w:rPr>
        <w:t>无政府基金收支预算</w:t>
      </w:r>
      <w:r>
        <w:rPr>
          <w:rFonts w:hint="eastAsia" w:ascii="仿宋_GB2312" w:hAnsi="宋体" w:eastAsia="仿宋_GB2312" w:cs="仿宋_GB2312"/>
          <w:sz w:val="32"/>
          <w:szCs w:val="32"/>
          <w:lang w:eastAsia="zh-CN"/>
        </w:rPr>
        <w:t>情况</w:t>
      </w:r>
      <w:r>
        <w:rPr>
          <w:rFonts w:hint="eastAsia" w:ascii="仿宋_GB2312" w:hAnsi="宋体" w:eastAsia="仿宋_GB2312" w:cs="仿宋_GB2312"/>
          <w:sz w:val="32"/>
          <w:szCs w:val="32"/>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numPr>
          <w:ilvl w:val="0"/>
          <w:numId w:val="2"/>
        </w:numPr>
        <w:spacing w:line="600" w:lineRule="exact"/>
        <w:ind w:firstLine="643" w:firstLineChars="200"/>
        <w:jc w:val="left"/>
        <w:rPr>
          <w:rFonts w:hint="eastAsia" w:ascii="仿宋_GB2312" w:eastAsia="仿宋_GB2312"/>
          <w:b/>
          <w:color w:val="000000"/>
          <w:sz w:val="32"/>
          <w:szCs w:val="30"/>
        </w:rPr>
      </w:pP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ind w:firstLine="643" w:firstLineChars="200"/>
        <w:rPr>
          <w:rFonts w:hint="eastAsia" w:ascii="仿宋_GB2312" w:eastAsia="仿宋_GB2312"/>
          <w:color w:val="000000"/>
          <w:sz w:val="32"/>
          <w:szCs w:val="30"/>
        </w:rPr>
      </w:pPr>
      <w:r>
        <w:rPr>
          <w:rFonts w:hint="eastAsia" w:ascii="仿宋_GB2312" w:eastAsia="仿宋_GB2312"/>
          <w:b/>
          <w:color w:val="000000"/>
          <w:sz w:val="32"/>
          <w:szCs w:val="30"/>
          <w:lang w:val="en-US" w:eastAsia="zh-CN"/>
        </w:rPr>
        <w:t xml:space="preserve"> </w:t>
      </w: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 xml:space="preserve">2021年实行绩效目标管理二级项目 </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 xml:space="preserve">  个（部门预算中</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 xml:space="preserve"> 万元以上的，且进行了绩效评审的项目 </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 xml:space="preserve"> 个，涉及资金  </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 xml:space="preserve"> 万元），涉及资金 </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（九）一级项目中各二级项目情况说明</w:t>
      </w:r>
    </w:p>
    <w:p>
      <w:pPr>
        <w:widowControl/>
        <w:numPr>
          <w:ilvl w:val="0"/>
          <w:numId w:val="0"/>
        </w:numPr>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二级项目</w:t>
      </w:r>
      <w:r>
        <w:rPr>
          <w:rFonts w:hint="eastAsia" w:ascii="仿宋_GB2312" w:eastAsia="仿宋_GB2312"/>
          <w:color w:val="000000"/>
          <w:sz w:val="32"/>
          <w:szCs w:val="30"/>
          <w:lang w:eastAsia="zh-CN"/>
        </w:rPr>
        <w:t>：</w:t>
      </w:r>
      <w:r>
        <w:rPr>
          <w:rFonts w:hint="eastAsia" w:ascii="仿宋_GB2312" w:eastAsia="仿宋_GB2312"/>
          <w:color w:val="000000"/>
          <w:sz w:val="32"/>
          <w:szCs w:val="30"/>
          <w:highlight w:val="none"/>
          <w:lang w:val="en-US" w:eastAsia="zh-CN"/>
        </w:rPr>
        <w:t>现代农业专项经费</w:t>
      </w:r>
    </w:p>
    <w:tbl>
      <w:tblPr>
        <w:tblStyle w:val="6"/>
        <w:tblW w:w="8640" w:type="dxa"/>
        <w:tblInd w:w="93" w:type="dxa"/>
        <w:shd w:val="clear" w:color="auto" w:fill="auto"/>
        <w:tblLayout w:type="autofit"/>
        <w:tblCellMar>
          <w:top w:w="0" w:type="dxa"/>
          <w:left w:w="108" w:type="dxa"/>
          <w:bottom w:w="0" w:type="dxa"/>
          <w:right w:w="108" w:type="dxa"/>
        </w:tblCellMar>
      </w:tblPr>
      <w:tblGrid>
        <w:gridCol w:w="1096"/>
        <w:gridCol w:w="1096"/>
        <w:gridCol w:w="960"/>
        <w:gridCol w:w="960"/>
        <w:gridCol w:w="960"/>
        <w:gridCol w:w="960"/>
        <w:gridCol w:w="960"/>
        <w:gridCol w:w="960"/>
        <w:gridCol w:w="960"/>
      </w:tblGrid>
      <w:tr>
        <w:tblPrEx>
          <w:shd w:val="clear" w:color="auto" w:fill="auto"/>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部门公开表10</w:t>
            </w: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60" w:hRule="atLeast"/>
        </w:trPr>
        <w:tc>
          <w:tcPr>
            <w:tcW w:w="8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景德镇市</w:t>
            </w:r>
            <w:r>
              <w:rPr>
                <w:rFonts w:hint="eastAsia" w:ascii="宋体" w:hAnsi="宋体" w:cs="宋体"/>
                <w:b/>
                <w:bCs/>
                <w:i w:val="0"/>
                <w:iCs w:val="0"/>
                <w:color w:val="000000"/>
                <w:kern w:val="0"/>
                <w:sz w:val="32"/>
                <w:szCs w:val="32"/>
                <w:u w:val="none"/>
                <w:lang w:val="en-US" w:eastAsia="zh-CN" w:bidi="ar"/>
              </w:rPr>
              <w:t>农业技术推广站二</w:t>
            </w:r>
            <w:r>
              <w:rPr>
                <w:rFonts w:hint="eastAsia" w:ascii="宋体" w:hAnsi="宋体" w:eastAsia="宋体" w:cs="宋体"/>
                <w:b/>
                <w:bCs/>
                <w:i w:val="0"/>
                <w:iCs w:val="0"/>
                <w:color w:val="000000"/>
                <w:kern w:val="0"/>
                <w:sz w:val="32"/>
                <w:szCs w:val="32"/>
                <w:u w:val="none"/>
                <w:lang w:val="en-US" w:eastAsia="zh-CN" w:bidi="ar"/>
              </w:rPr>
              <w:t>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vAlign w:val="top"/>
          </w:tcPr>
          <w:p>
            <w:pPr>
              <w:jc w:val="both"/>
              <w:rPr>
                <w:rFonts w:hint="eastAsia" w:ascii="Calibri" w:hAnsi="Calibri" w:cs="Calibri"/>
                <w:i w:val="0"/>
                <w:iCs w:val="0"/>
                <w:color w:val="000000"/>
                <w:sz w:val="21"/>
                <w:szCs w:val="21"/>
                <w:u w:val="none"/>
              </w:rPr>
            </w:pPr>
          </w:p>
        </w:tc>
        <w:tc>
          <w:tcPr>
            <w:tcW w:w="960" w:type="dxa"/>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single" w:color="000000" w:sz="4" w:space="0"/>
              <w:right w:val="nil"/>
            </w:tcBorders>
            <w:shd w:val="clear" w:color="auto" w:fill="auto"/>
            <w:vAlign w:val="top"/>
          </w:tcPr>
          <w:p>
            <w:pPr>
              <w:jc w:val="both"/>
              <w:rPr>
                <w:rFonts w:hint="default" w:ascii="Calibri" w:hAnsi="Calibri" w:cs="Calibri"/>
                <w:i w:val="0"/>
                <w:iCs w:val="0"/>
                <w:color w:val="000000"/>
                <w:sz w:val="21"/>
                <w:szCs w:val="21"/>
                <w:u w:val="none"/>
              </w:rPr>
            </w:pPr>
          </w:p>
        </w:tc>
        <w:tc>
          <w:tcPr>
            <w:tcW w:w="2880" w:type="dxa"/>
            <w:gridSpan w:val="3"/>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r>
      <w:tr>
        <w:tblPrEx>
          <w:tblCellMar>
            <w:top w:w="0" w:type="dxa"/>
            <w:left w:w="108" w:type="dxa"/>
            <w:bottom w:w="0" w:type="dxa"/>
            <w:right w:w="108" w:type="dxa"/>
          </w:tblCellMar>
        </w:tblPrEx>
        <w:trPr>
          <w:trHeight w:val="66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现代农业专项经费</w:t>
            </w:r>
          </w:p>
        </w:tc>
      </w:tr>
      <w:tr>
        <w:tblPrEx>
          <w:tblCellMar>
            <w:top w:w="0" w:type="dxa"/>
            <w:left w:w="108" w:type="dxa"/>
            <w:bottom w:w="0" w:type="dxa"/>
            <w:right w:w="108" w:type="dxa"/>
          </w:tblCellMar>
        </w:tblPrEx>
        <w:trPr>
          <w:trHeight w:val="66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主管部门及代码</w:t>
            </w:r>
          </w:p>
        </w:tc>
        <w:tc>
          <w:tcPr>
            <w:tcW w:w="288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景德镇市农业农村局301001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景德镇市农业技术推广站</w:t>
            </w:r>
          </w:p>
        </w:tc>
      </w:tr>
      <w:tr>
        <w:tblPrEx>
          <w:tblCellMar>
            <w:top w:w="0" w:type="dxa"/>
            <w:left w:w="108" w:type="dxa"/>
            <w:bottom w:w="0" w:type="dxa"/>
            <w:right w:w="108" w:type="dxa"/>
          </w:tblCellMar>
        </w:tblPrEx>
        <w:trPr>
          <w:trHeight w:val="660" w:hRule="atLeast"/>
        </w:trPr>
        <w:tc>
          <w:tcPr>
            <w:tcW w:w="19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年度资金总额      </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其中:财政拨款</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6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年度绩效目标</w:t>
            </w:r>
          </w:p>
        </w:tc>
      </w:tr>
      <w:tr>
        <w:tblPrEx>
          <w:tblCellMar>
            <w:top w:w="0" w:type="dxa"/>
            <w:left w:w="108" w:type="dxa"/>
            <w:bottom w:w="0" w:type="dxa"/>
            <w:right w:w="108" w:type="dxa"/>
          </w:tblCellMar>
        </w:tblPrEx>
        <w:trPr>
          <w:trHeight w:val="184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超级稻及其高产栽培集成技术推广”，绩效指标在全市计划推广水稻面积32万亩、亩均增产25公、全年增粮800万公斤；“籼改粳”高产高效栽培集成技术示范推广，绩效指标确定推广品种4-5个，示范面积7万亩，提高单产50公斤；“水稻轻简高效栽培集成技术推广”绩效指标推广面积40万亩（抛秧7万亩、机插20万亩、直播13万亩），占全年水稻计划种植面积（125万亩）的32%，提高功效5—20倍（抛秧提高功效5—6倍、机插15—20倍、直播10倍）。</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项目推进计划完成率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节能量验收合格率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项目延误率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试验前后节能费用控制比</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试验前后节能费用控制比</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试验节能标准达标率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项目可复制性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r>
    </w:tbl>
    <w:p>
      <w:pPr>
        <w:rPr>
          <w:rFonts w:hint="eastAsia" w:ascii="仿宋_GB2312" w:eastAsia="仿宋_GB2312"/>
          <w:color w:val="000000"/>
          <w:sz w:val="32"/>
          <w:szCs w:val="30"/>
        </w:rPr>
      </w:pP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2021年部门预算表</w:t>
      </w:r>
    </w:p>
    <w:p>
      <w:pPr>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ascii="仿宋_GB2312" w:eastAsia="仿宋_GB2312" w:cs="Times New Roman"/>
          <w:sz w:val="32"/>
          <w:szCs w:val="32"/>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BA9C2A"/>
    <w:multiLevelType w:val="singleLevel"/>
    <w:tmpl w:val="D5BA9C2A"/>
    <w:lvl w:ilvl="0" w:tentative="0">
      <w:start w:val="7"/>
      <w:numFmt w:val="chineseCounting"/>
      <w:suff w:val="nothing"/>
      <w:lvlText w:val="（%1）"/>
      <w:lvlJc w:val="left"/>
      <w:rPr>
        <w:rFonts w:hint="eastAsia"/>
      </w:rPr>
    </w:lvl>
  </w:abstractNum>
  <w:abstractNum w:abstractNumId="1">
    <w:nsid w:val="F5D9D642"/>
    <w:multiLevelType w:val="singleLevel"/>
    <w:tmpl w:val="F5D9D642"/>
    <w:lvl w:ilvl="0" w:tentative="0">
      <w:start w:val="3"/>
      <w:numFmt w:val="chineseCounting"/>
      <w:suff w:val="nothing"/>
      <w:lvlText w:val="（%1）"/>
      <w:lvlJc w:val="left"/>
      <w:rPr>
        <w:rFonts w:hint="eastAsia"/>
      </w:rPr>
    </w:lvl>
  </w:abstractNum>
  <w:abstractNum w:abstractNumId="2">
    <w:nsid w:val="59A778CA"/>
    <w:multiLevelType w:val="singleLevel"/>
    <w:tmpl w:val="59A778CA"/>
    <w:lvl w:ilvl="0" w:tentative="0">
      <w:start w:val="4"/>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13344F"/>
    <w:rsid w:val="0019745D"/>
    <w:rsid w:val="002865B4"/>
    <w:rsid w:val="003E2BD5"/>
    <w:rsid w:val="00675E17"/>
    <w:rsid w:val="00683AC4"/>
    <w:rsid w:val="008110CC"/>
    <w:rsid w:val="008576F0"/>
    <w:rsid w:val="00B358C5"/>
    <w:rsid w:val="00C04C9A"/>
    <w:rsid w:val="00CB427A"/>
    <w:rsid w:val="00F500B9"/>
    <w:rsid w:val="016C67F3"/>
    <w:rsid w:val="01992CBB"/>
    <w:rsid w:val="01EA2720"/>
    <w:rsid w:val="02064BBC"/>
    <w:rsid w:val="022502CD"/>
    <w:rsid w:val="02317160"/>
    <w:rsid w:val="024C43F7"/>
    <w:rsid w:val="027743F7"/>
    <w:rsid w:val="031B6E8A"/>
    <w:rsid w:val="032C03EB"/>
    <w:rsid w:val="038235A5"/>
    <w:rsid w:val="038A1C17"/>
    <w:rsid w:val="03C46409"/>
    <w:rsid w:val="03E01135"/>
    <w:rsid w:val="04256AF8"/>
    <w:rsid w:val="04781255"/>
    <w:rsid w:val="048B0EC6"/>
    <w:rsid w:val="052941CC"/>
    <w:rsid w:val="055D08CA"/>
    <w:rsid w:val="056F62AD"/>
    <w:rsid w:val="05763F45"/>
    <w:rsid w:val="05BC0F9E"/>
    <w:rsid w:val="05EB1609"/>
    <w:rsid w:val="060C11F6"/>
    <w:rsid w:val="061D2BD0"/>
    <w:rsid w:val="065E00B6"/>
    <w:rsid w:val="067E3FF0"/>
    <w:rsid w:val="072F3B1B"/>
    <w:rsid w:val="07556207"/>
    <w:rsid w:val="077046AF"/>
    <w:rsid w:val="078163B8"/>
    <w:rsid w:val="0796658A"/>
    <w:rsid w:val="080D074F"/>
    <w:rsid w:val="0833403F"/>
    <w:rsid w:val="08686850"/>
    <w:rsid w:val="08EE0B31"/>
    <w:rsid w:val="09541ED2"/>
    <w:rsid w:val="0A0C0784"/>
    <w:rsid w:val="0A271BDF"/>
    <w:rsid w:val="0A326819"/>
    <w:rsid w:val="0A537EF6"/>
    <w:rsid w:val="0AD93D0E"/>
    <w:rsid w:val="0AEC41F0"/>
    <w:rsid w:val="0AF07A0C"/>
    <w:rsid w:val="0B8060BC"/>
    <w:rsid w:val="0B8D3EE8"/>
    <w:rsid w:val="0B8F4B71"/>
    <w:rsid w:val="0BCB55CB"/>
    <w:rsid w:val="0C3660E1"/>
    <w:rsid w:val="0C5E5648"/>
    <w:rsid w:val="0CAC0240"/>
    <w:rsid w:val="0CBF216E"/>
    <w:rsid w:val="0D476B84"/>
    <w:rsid w:val="0D4C766D"/>
    <w:rsid w:val="0D575FA0"/>
    <w:rsid w:val="0D9E0ADE"/>
    <w:rsid w:val="0EA01ACD"/>
    <w:rsid w:val="0EA6690D"/>
    <w:rsid w:val="0ED93834"/>
    <w:rsid w:val="0F423A26"/>
    <w:rsid w:val="0F7E0D69"/>
    <w:rsid w:val="0F842447"/>
    <w:rsid w:val="0FCB58D0"/>
    <w:rsid w:val="103112C5"/>
    <w:rsid w:val="10755C11"/>
    <w:rsid w:val="11044A50"/>
    <w:rsid w:val="11427CB1"/>
    <w:rsid w:val="1160391C"/>
    <w:rsid w:val="118072E3"/>
    <w:rsid w:val="11F50DF7"/>
    <w:rsid w:val="120155D1"/>
    <w:rsid w:val="122D3560"/>
    <w:rsid w:val="13023F89"/>
    <w:rsid w:val="13311465"/>
    <w:rsid w:val="13504B1F"/>
    <w:rsid w:val="137661AC"/>
    <w:rsid w:val="139E3D52"/>
    <w:rsid w:val="143B2A56"/>
    <w:rsid w:val="15B3281E"/>
    <w:rsid w:val="15DD675D"/>
    <w:rsid w:val="15E42F19"/>
    <w:rsid w:val="162B4B72"/>
    <w:rsid w:val="16774F88"/>
    <w:rsid w:val="169F4F37"/>
    <w:rsid w:val="17470FCF"/>
    <w:rsid w:val="17802EE9"/>
    <w:rsid w:val="17AF16CF"/>
    <w:rsid w:val="17BA0946"/>
    <w:rsid w:val="17C82895"/>
    <w:rsid w:val="184C5203"/>
    <w:rsid w:val="18AC060B"/>
    <w:rsid w:val="18C52802"/>
    <w:rsid w:val="18D609BC"/>
    <w:rsid w:val="19076E1D"/>
    <w:rsid w:val="19774884"/>
    <w:rsid w:val="199B1F30"/>
    <w:rsid w:val="1A1E1CF2"/>
    <w:rsid w:val="1A8453E8"/>
    <w:rsid w:val="1A8E7D6A"/>
    <w:rsid w:val="1B630BBB"/>
    <w:rsid w:val="1B9A5EF7"/>
    <w:rsid w:val="1BB219B8"/>
    <w:rsid w:val="1BEB2991"/>
    <w:rsid w:val="1BF14F36"/>
    <w:rsid w:val="1BF8427D"/>
    <w:rsid w:val="1C243B2E"/>
    <w:rsid w:val="1C891554"/>
    <w:rsid w:val="1D302813"/>
    <w:rsid w:val="1D823FBA"/>
    <w:rsid w:val="1DB363F7"/>
    <w:rsid w:val="1DE82DB3"/>
    <w:rsid w:val="1DFD0664"/>
    <w:rsid w:val="1E127E13"/>
    <w:rsid w:val="1E190FD9"/>
    <w:rsid w:val="1E223BF0"/>
    <w:rsid w:val="1E236CE8"/>
    <w:rsid w:val="1E406960"/>
    <w:rsid w:val="1EBD751D"/>
    <w:rsid w:val="1EC2680B"/>
    <w:rsid w:val="1EEC17FD"/>
    <w:rsid w:val="1F117155"/>
    <w:rsid w:val="1F3173C4"/>
    <w:rsid w:val="1F520532"/>
    <w:rsid w:val="1F8D5D62"/>
    <w:rsid w:val="1FEA1872"/>
    <w:rsid w:val="20336806"/>
    <w:rsid w:val="204B45CE"/>
    <w:rsid w:val="2084137E"/>
    <w:rsid w:val="210F442D"/>
    <w:rsid w:val="2142403F"/>
    <w:rsid w:val="21721F3C"/>
    <w:rsid w:val="218053C2"/>
    <w:rsid w:val="21B76395"/>
    <w:rsid w:val="21BA5AAD"/>
    <w:rsid w:val="220347D3"/>
    <w:rsid w:val="220F496D"/>
    <w:rsid w:val="22510534"/>
    <w:rsid w:val="225609A2"/>
    <w:rsid w:val="22B82BFC"/>
    <w:rsid w:val="233F7F0E"/>
    <w:rsid w:val="245D6773"/>
    <w:rsid w:val="247052AA"/>
    <w:rsid w:val="24E00489"/>
    <w:rsid w:val="250715FD"/>
    <w:rsid w:val="25205C04"/>
    <w:rsid w:val="252C34D5"/>
    <w:rsid w:val="252E57A3"/>
    <w:rsid w:val="25381CD0"/>
    <w:rsid w:val="253C20A9"/>
    <w:rsid w:val="25705B71"/>
    <w:rsid w:val="2588291D"/>
    <w:rsid w:val="258C6780"/>
    <w:rsid w:val="25F11C78"/>
    <w:rsid w:val="26064C01"/>
    <w:rsid w:val="265C0677"/>
    <w:rsid w:val="26D4783E"/>
    <w:rsid w:val="274E6D2C"/>
    <w:rsid w:val="275018A2"/>
    <w:rsid w:val="275A70F1"/>
    <w:rsid w:val="275B65FB"/>
    <w:rsid w:val="27667D96"/>
    <w:rsid w:val="27C66EFE"/>
    <w:rsid w:val="28D6093E"/>
    <w:rsid w:val="293250A8"/>
    <w:rsid w:val="293513F5"/>
    <w:rsid w:val="293B21F8"/>
    <w:rsid w:val="29434014"/>
    <w:rsid w:val="296653B8"/>
    <w:rsid w:val="297E6BA8"/>
    <w:rsid w:val="29BB1D22"/>
    <w:rsid w:val="29C408DC"/>
    <w:rsid w:val="29EF1D2A"/>
    <w:rsid w:val="2A0F74E6"/>
    <w:rsid w:val="2A4D398B"/>
    <w:rsid w:val="2ABF4EE0"/>
    <w:rsid w:val="2B2616BF"/>
    <w:rsid w:val="2C3177F8"/>
    <w:rsid w:val="2C360946"/>
    <w:rsid w:val="2CDD42A9"/>
    <w:rsid w:val="2D1D17F2"/>
    <w:rsid w:val="2D35702E"/>
    <w:rsid w:val="2D7062CA"/>
    <w:rsid w:val="2D76092E"/>
    <w:rsid w:val="2D953D7E"/>
    <w:rsid w:val="2DBB1A4F"/>
    <w:rsid w:val="2DBB222D"/>
    <w:rsid w:val="2DD468C9"/>
    <w:rsid w:val="2DD800F2"/>
    <w:rsid w:val="2E1E280F"/>
    <w:rsid w:val="2E4412FF"/>
    <w:rsid w:val="2F432FE2"/>
    <w:rsid w:val="2F4D04AC"/>
    <w:rsid w:val="2F7E7583"/>
    <w:rsid w:val="2FA1085D"/>
    <w:rsid w:val="2FAA4032"/>
    <w:rsid w:val="2FB457AF"/>
    <w:rsid w:val="2FBB03F7"/>
    <w:rsid w:val="2FED3D3E"/>
    <w:rsid w:val="300C4003"/>
    <w:rsid w:val="303F4E03"/>
    <w:rsid w:val="30434EC1"/>
    <w:rsid w:val="30B511A3"/>
    <w:rsid w:val="30C92EB4"/>
    <w:rsid w:val="3154658E"/>
    <w:rsid w:val="317315E0"/>
    <w:rsid w:val="317776B3"/>
    <w:rsid w:val="318B6EAB"/>
    <w:rsid w:val="31D40AAE"/>
    <w:rsid w:val="31E31726"/>
    <w:rsid w:val="32082551"/>
    <w:rsid w:val="320C2C53"/>
    <w:rsid w:val="322620CC"/>
    <w:rsid w:val="323C6217"/>
    <w:rsid w:val="32BB7626"/>
    <w:rsid w:val="33265B1E"/>
    <w:rsid w:val="334351EF"/>
    <w:rsid w:val="33560943"/>
    <w:rsid w:val="339E38BD"/>
    <w:rsid w:val="33D97D72"/>
    <w:rsid w:val="33ED1CDB"/>
    <w:rsid w:val="33EE23E2"/>
    <w:rsid w:val="340C42A2"/>
    <w:rsid w:val="341D1ADE"/>
    <w:rsid w:val="347248C9"/>
    <w:rsid w:val="348E3D74"/>
    <w:rsid w:val="34D15BB5"/>
    <w:rsid w:val="34E71B12"/>
    <w:rsid w:val="34EB365B"/>
    <w:rsid w:val="356B322F"/>
    <w:rsid w:val="35B13DDA"/>
    <w:rsid w:val="36B7026D"/>
    <w:rsid w:val="36C36297"/>
    <w:rsid w:val="36FE5B64"/>
    <w:rsid w:val="372D75F5"/>
    <w:rsid w:val="3774349D"/>
    <w:rsid w:val="37CB5FAD"/>
    <w:rsid w:val="37FF031C"/>
    <w:rsid w:val="380475AF"/>
    <w:rsid w:val="381119B2"/>
    <w:rsid w:val="3836322E"/>
    <w:rsid w:val="388173C0"/>
    <w:rsid w:val="38AA4629"/>
    <w:rsid w:val="38D5753F"/>
    <w:rsid w:val="38E04FC4"/>
    <w:rsid w:val="399542A1"/>
    <w:rsid w:val="39963130"/>
    <w:rsid w:val="39FC405B"/>
    <w:rsid w:val="39FE70D3"/>
    <w:rsid w:val="3A1A6D89"/>
    <w:rsid w:val="3A56527C"/>
    <w:rsid w:val="3ABD19CE"/>
    <w:rsid w:val="3B551DDD"/>
    <w:rsid w:val="3BD871B8"/>
    <w:rsid w:val="3BDD2645"/>
    <w:rsid w:val="3C815AB8"/>
    <w:rsid w:val="3CF55A87"/>
    <w:rsid w:val="3D477461"/>
    <w:rsid w:val="3D6B2AEE"/>
    <w:rsid w:val="3D951125"/>
    <w:rsid w:val="3DA94220"/>
    <w:rsid w:val="3DB26803"/>
    <w:rsid w:val="3DF91EB5"/>
    <w:rsid w:val="3E785E35"/>
    <w:rsid w:val="3EE41772"/>
    <w:rsid w:val="3EEB0DE2"/>
    <w:rsid w:val="3FC64316"/>
    <w:rsid w:val="40063FBF"/>
    <w:rsid w:val="404C2DFC"/>
    <w:rsid w:val="40A60D15"/>
    <w:rsid w:val="40B66911"/>
    <w:rsid w:val="41967FB4"/>
    <w:rsid w:val="41B93B2C"/>
    <w:rsid w:val="41CC4EE7"/>
    <w:rsid w:val="41E15545"/>
    <w:rsid w:val="41F956CB"/>
    <w:rsid w:val="42345910"/>
    <w:rsid w:val="42497C45"/>
    <w:rsid w:val="425C5E12"/>
    <w:rsid w:val="429A727D"/>
    <w:rsid w:val="429E4067"/>
    <w:rsid w:val="42A43B04"/>
    <w:rsid w:val="42DB1F07"/>
    <w:rsid w:val="43113E87"/>
    <w:rsid w:val="4312783B"/>
    <w:rsid w:val="43164934"/>
    <w:rsid w:val="4322216B"/>
    <w:rsid w:val="4345786A"/>
    <w:rsid w:val="434D6231"/>
    <w:rsid w:val="438354F4"/>
    <w:rsid w:val="43FC4A38"/>
    <w:rsid w:val="44152A47"/>
    <w:rsid w:val="44822889"/>
    <w:rsid w:val="44C80766"/>
    <w:rsid w:val="454515E4"/>
    <w:rsid w:val="45883462"/>
    <w:rsid w:val="46494A88"/>
    <w:rsid w:val="46853F3D"/>
    <w:rsid w:val="472C27F5"/>
    <w:rsid w:val="478074B0"/>
    <w:rsid w:val="47B569C6"/>
    <w:rsid w:val="47CE0305"/>
    <w:rsid w:val="47E76516"/>
    <w:rsid w:val="482F4CAD"/>
    <w:rsid w:val="48B4312F"/>
    <w:rsid w:val="4995109F"/>
    <w:rsid w:val="49B160DD"/>
    <w:rsid w:val="49D458D1"/>
    <w:rsid w:val="4A0F615A"/>
    <w:rsid w:val="4A217839"/>
    <w:rsid w:val="4A6D0486"/>
    <w:rsid w:val="4A961FC1"/>
    <w:rsid w:val="4AA902E2"/>
    <w:rsid w:val="4B1C3CE3"/>
    <w:rsid w:val="4B1F62F4"/>
    <w:rsid w:val="4B6E6FF1"/>
    <w:rsid w:val="4B751B83"/>
    <w:rsid w:val="4BD21A29"/>
    <w:rsid w:val="4BD63489"/>
    <w:rsid w:val="4C025A05"/>
    <w:rsid w:val="4C0B38BC"/>
    <w:rsid w:val="4C0B7195"/>
    <w:rsid w:val="4C5F593F"/>
    <w:rsid w:val="4C612323"/>
    <w:rsid w:val="4C8A2ACC"/>
    <w:rsid w:val="4CA22468"/>
    <w:rsid w:val="4CF33B51"/>
    <w:rsid w:val="4D3B293C"/>
    <w:rsid w:val="4D6D660D"/>
    <w:rsid w:val="4DE822C2"/>
    <w:rsid w:val="4E0518C4"/>
    <w:rsid w:val="4E837283"/>
    <w:rsid w:val="4EEA04B4"/>
    <w:rsid w:val="4F03119D"/>
    <w:rsid w:val="4FAE51CE"/>
    <w:rsid w:val="5003171A"/>
    <w:rsid w:val="503A0DE5"/>
    <w:rsid w:val="505240F4"/>
    <w:rsid w:val="50933F49"/>
    <w:rsid w:val="50A9181D"/>
    <w:rsid w:val="50A9203A"/>
    <w:rsid w:val="50D35028"/>
    <w:rsid w:val="5127713C"/>
    <w:rsid w:val="51573273"/>
    <w:rsid w:val="517D5D63"/>
    <w:rsid w:val="518F35C1"/>
    <w:rsid w:val="51B40312"/>
    <w:rsid w:val="51D5711C"/>
    <w:rsid w:val="52B039E7"/>
    <w:rsid w:val="52CD2EAD"/>
    <w:rsid w:val="52D257D0"/>
    <w:rsid w:val="53854093"/>
    <w:rsid w:val="53AD567D"/>
    <w:rsid w:val="544F03A5"/>
    <w:rsid w:val="54E510B6"/>
    <w:rsid w:val="556C4719"/>
    <w:rsid w:val="55E2413E"/>
    <w:rsid w:val="561671EE"/>
    <w:rsid w:val="56241132"/>
    <w:rsid w:val="5670490E"/>
    <w:rsid w:val="56942189"/>
    <w:rsid w:val="56E154AE"/>
    <w:rsid w:val="57605D80"/>
    <w:rsid w:val="57A202BD"/>
    <w:rsid w:val="57AF7C65"/>
    <w:rsid w:val="57CC144D"/>
    <w:rsid w:val="586C14E4"/>
    <w:rsid w:val="588B3CC5"/>
    <w:rsid w:val="58F82D27"/>
    <w:rsid w:val="59043A80"/>
    <w:rsid w:val="59B529DA"/>
    <w:rsid w:val="5A4D4A62"/>
    <w:rsid w:val="5A5530E0"/>
    <w:rsid w:val="5A6622F5"/>
    <w:rsid w:val="5AC04565"/>
    <w:rsid w:val="5AD9793C"/>
    <w:rsid w:val="5B400111"/>
    <w:rsid w:val="5B433FA0"/>
    <w:rsid w:val="5B980D8B"/>
    <w:rsid w:val="5C031165"/>
    <w:rsid w:val="5C29740F"/>
    <w:rsid w:val="5C2B4808"/>
    <w:rsid w:val="5C3814AC"/>
    <w:rsid w:val="5C7E60A8"/>
    <w:rsid w:val="5C866D2F"/>
    <w:rsid w:val="5C9E0762"/>
    <w:rsid w:val="5CAA308D"/>
    <w:rsid w:val="5CB97036"/>
    <w:rsid w:val="5CD8710E"/>
    <w:rsid w:val="5DA4126C"/>
    <w:rsid w:val="5DA825D1"/>
    <w:rsid w:val="5DB62D09"/>
    <w:rsid w:val="5DEC21DC"/>
    <w:rsid w:val="5E48283E"/>
    <w:rsid w:val="5E5D3BFC"/>
    <w:rsid w:val="5E7470A6"/>
    <w:rsid w:val="5E886C01"/>
    <w:rsid w:val="5EA05364"/>
    <w:rsid w:val="5F1C0912"/>
    <w:rsid w:val="5F4C7691"/>
    <w:rsid w:val="5F771653"/>
    <w:rsid w:val="5FED1CFD"/>
    <w:rsid w:val="60EC45F9"/>
    <w:rsid w:val="60FC23CB"/>
    <w:rsid w:val="610B4BD2"/>
    <w:rsid w:val="613B0830"/>
    <w:rsid w:val="615256EB"/>
    <w:rsid w:val="615B6582"/>
    <w:rsid w:val="618D29A7"/>
    <w:rsid w:val="620F382A"/>
    <w:rsid w:val="62124A1E"/>
    <w:rsid w:val="62180EE4"/>
    <w:rsid w:val="621E7046"/>
    <w:rsid w:val="62341790"/>
    <w:rsid w:val="62AC6032"/>
    <w:rsid w:val="62B20F12"/>
    <w:rsid w:val="62CF0021"/>
    <w:rsid w:val="62E4604F"/>
    <w:rsid w:val="64185802"/>
    <w:rsid w:val="641E7445"/>
    <w:rsid w:val="64794E7A"/>
    <w:rsid w:val="649A22F9"/>
    <w:rsid w:val="64FF0CA8"/>
    <w:rsid w:val="65237C0A"/>
    <w:rsid w:val="653B30AC"/>
    <w:rsid w:val="65786D6D"/>
    <w:rsid w:val="65F97F37"/>
    <w:rsid w:val="6641641D"/>
    <w:rsid w:val="66423293"/>
    <w:rsid w:val="66821C4B"/>
    <w:rsid w:val="67223D87"/>
    <w:rsid w:val="677F2875"/>
    <w:rsid w:val="678D2E45"/>
    <w:rsid w:val="67D132D3"/>
    <w:rsid w:val="67DB5F42"/>
    <w:rsid w:val="6819151F"/>
    <w:rsid w:val="68390D0C"/>
    <w:rsid w:val="68787A32"/>
    <w:rsid w:val="68C67DDB"/>
    <w:rsid w:val="68DB0D8F"/>
    <w:rsid w:val="68F34791"/>
    <w:rsid w:val="690F19BF"/>
    <w:rsid w:val="694245AC"/>
    <w:rsid w:val="69C21A2B"/>
    <w:rsid w:val="6A5877AA"/>
    <w:rsid w:val="6AFA4B58"/>
    <w:rsid w:val="6B114B35"/>
    <w:rsid w:val="6B356F17"/>
    <w:rsid w:val="6B4F3212"/>
    <w:rsid w:val="6BB52C69"/>
    <w:rsid w:val="6C441AD9"/>
    <w:rsid w:val="6CC42F36"/>
    <w:rsid w:val="6D21437F"/>
    <w:rsid w:val="6D283978"/>
    <w:rsid w:val="6D3D3176"/>
    <w:rsid w:val="6D6F5FD5"/>
    <w:rsid w:val="6DD77909"/>
    <w:rsid w:val="6E2B7292"/>
    <w:rsid w:val="6E8C1CFD"/>
    <w:rsid w:val="6EA661A7"/>
    <w:rsid w:val="6EEC4461"/>
    <w:rsid w:val="6F140541"/>
    <w:rsid w:val="6F71058E"/>
    <w:rsid w:val="6F8E7C8D"/>
    <w:rsid w:val="6F9A7A6C"/>
    <w:rsid w:val="6FAC2B1A"/>
    <w:rsid w:val="6FCB750B"/>
    <w:rsid w:val="70401B25"/>
    <w:rsid w:val="709C73AA"/>
    <w:rsid w:val="70A027CE"/>
    <w:rsid w:val="713607DA"/>
    <w:rsid w:val="71452C49"/>
    <w:rsid w:val="716D31A1"/>
    <w:rsid w:val="719F2C06"/>
    <w:rsid w:val="71CF63F7"/>
    <w:rsid w:val="72204854"/>
    <w:rsid w:val="726560BA"/>
    <w:rsid w:val="72BB74E2"/>
    <w:rsid w:val="72D71BC4"/>
    <w:rsid w:val="72FF0EA9"/>
    <w:rsid w:val="730316C7"/>
    <w:rsid w:val="73224148"/>
    <w:rsid w:val="73457E98"/>
    <w:rsid w:val="73761EC6"/>
    <w:rsid w:val="737F129C"/>
    <w:rsid w:val="738F7F0D"/>
    <w:rsid w:val="73990B59"/>
    <w:rsid w:val="73DB2B3E"/>
    <w:rsid w:val="743B18EC"/>
    <w:rsid w:val="747A3707"/>
    <w:rsid w:val="74F93EDE"/>
    <w:rsid w:val="75147426"/>
    <w:rsid w:val="75186015"/>
    <w:rsid w:val="7558269E"/>
    <w:rsid w:val="75F73C00"/>
    <w:rsid w:val="75FC24B1"/>
    <w:rsid w:val="762714A4"/>
    <w:rsid w:val="762A3522"/>
    <w:rsid w:val="767237B1"/>
    <w:rsid w:val="76B85F84"/>
    <w:rsid w:val="76F06EE8"/>
    <w:rsid w:val="771C292C"/>
    <w:rsid w:val="772860B1"/>
    <w:rsid w:val="77F3484B"/>
    <w:rsid w:val="785A672B"/>
    <w:rsid w:val="78B154DA"/>
    <w:rsid w:val="791801C9"/>
    <w:rsid w:val="793237DF"/>
    <w:rsid w:val="79971D48"/>
    <w:rsid w:val="79E83991"/>
    <w:rsid w:val="79EC2FF9"/>
    <w:rsid w:val="7ADF262C"/>
    <w:rsid w:val="7AE84AD9"/>
    <w:rsid w:val="7B3D7D48"/>
    <w:rsid w:val="7B4102B0"/>
    <w:rsid w:val="7B766D0D"/>
    <w:rsid w:val="7B777393"/>
    <w:rsid w:val="7BE26434"/>
    <w:rsid w:val="7BF07E58"/>
    <w:rsid w:val="7C2E0F18"/>
    <w:rsid w:val="7C3C243D"/>
    <w:rsid w:val="7CC163C4"/>
    <w:rsid w:val="7CD57E28"/>
    <w:rsid w:val="7CD9652D"/>
    <w:rsid w:val="7D582BF0"/>
    <w:rsid w:val="7D877F73"/>
    <w:rsid w:val="7DA41DF2"/>
    <w:rsid w:val="7E264035"/>
    <w:rsid w:val="7EB87F25"/>
    <w:rsid w:val="7EC964B7"/>
    <w:rsid w:val="7F0246EA"/>
    <w:rsid w:val="7F0C59E2"/>
    <w:rsid w:val="7F344B00"/>
    <w:rsid w:val="7F823159"/>
    <w:rsid w:val="7FA42D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8</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2021-07-19T01:46:59Z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